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D4796" w:rsidRPr="004D4796" w:rsidTr="004D479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796" w:rsidRPr="004D4796" w:rsidRDefault="004D4796" w:rsidP="004D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47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Професійна спілка </w:t>
            </w:r>
            <w:r w:rsidRPr="004D47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працівників культури України</w:t>
            </w:r>
          </w:p>
          <w:p w:rsidR="004D4796" w:rsidRPr="004D4796" w:rsidRDefault="004D4796" w:rsidP="004D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4D4796" w:rsidRPr="004D4796" w:rsidRDefault="004D4796" w:rsidP="004D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Київ, вул. Шота Руставелі, 39-41, для листування: а/с 116, м. Київ-19, 01019</w:t>
            </w:r>
          </w:p>
          <w:p w:rsidR="004D4796" w:rsidRPr="004D4796" w:rsidRDefault="004D4796" w:rsidP="004D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</w:t>
            </w:r>
            <w:proofErr w:type="spellStart"/>
            <w:r w:rsidRPr="004D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4D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пошта </w:t>
            </w:r>
            <w:hyperlink r:id="rId5" w:history="1"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4D479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</w:hyperlink>
            <w:r w:rsidRPr="004D47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4D4796" w:rsidRPr="004D4796" w:rsidRDefault="004D4796" w:rsidP="004D4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D4796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796" w:rsidRPr="004D4796" w:rsidRDefault="004D4796" w:rsidP="004D479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796" w:rsidRPr="000D2BBE" w:rsidRDefault="004D4796" w:rsidP="004D4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D47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D6C14" w:rsidRPr="000A5BE0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D47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4D4796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D47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   № 02-</w:t>
      </w:r>
      <w:r w:rsidR="000D2BBE" w:rsidRPr="000D2BB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D2B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15</w:t>
      </w:r>
      <w:bookmarkStart w:id="0" w:name="_GoBack"/>
      <w:bookmarkEnd w:id="0"/>
    </w:p>
    <w:p w:rsidR="004D4796" w:rsidRPr="004D4796" w:rsidRDefault="004D4796" w:rsidP="004D4796">
      <w:pPr>
        <w:spacing w:line="252" w:lineRule="auto"/>
        <w:rPr>
          <w:rFonts w:ascii="Times New Roman" w:eastAsia="Calibri" w:hAnsi="Times New Roman" w:cs="Times New Roman"/>
          <w:sz w:val="20"/>
          <w:szCs w:val="20"/>
        </w:rPr>
      </w:pPr>
      <w:r w:rsidRPr="004D4796">
        <w:rPr>
          <w:rFonts w:ascii="Times New Roman" w:eastAsia="Calibri" w:hAnsi="Times New Roman" w:cs="Times New Roman"/>
          <w:sz w:val="20"/>
          <w:szCs w:val="20"/>
        </w:rPr>
        <w:t>На № _______ від ______</w:t>
      </w:r>
    </w:p>
    <w:p w:rsidR="004D4796" w:rsidRPr="008E6A9A" w:rsidRDefault="004D4796" w:rsidP="000A5BE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b/>
          <w:i/>
          <w:color w:val="000000"/>
          <w:spacing w:val="1"/>
          <w:sz w:val="27"/>
          <w:szCs w:val="27"/>
          <w:lang w:eastAsia="ru-RU"/>
        </w:rPr>
        <w:t>Головам Київської міської Профспілки працівників культури, обласних організацій Профспілки працівників культури України</w:t>
      </w:r>
    </w:p>
    <w:p w:rsidR="004D4796" w:rsidRPr="008E6A9A" w:rsidRDefault="004D4796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</w:p>
    <w:p w:rsidR="004D4796" w:rsidRPr="008E6A9A" w:rsidRDefault="004D4796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  <w:t>Шановні колеги!</w:t>
      </w:r>
    </w:p>
    <w:p w:rsidR="002935C5" w:rsidRPr="008E6A9A" w:rsidRDefault="002935C5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7"/>
          <w:szCs w:val="27"/>
          <w:lang w:eastAsia="ru-RU"/>
        </w:rPr>
      </w:pPr>
    </w:p>
    <w:p w:rsidR="005D6C14" w:rsidRPr="008E6A9A" w:rsidRDefault="002935C5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</w:t>
      </w:r>
      <w:r w:rsidR="005D6C14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ід час воєнного стану Профспілка неодноразово підіймала питання </w:t>
      </w:r>
      <w:r w:rsidR="008E6A9A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на рівні виконавчої та законодавчої влади </w:t>
      </w:r>
      <w:r w:rsidR="005D6C14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щодо бронювання від мобілізації працівників культури, </w:t>
      </w:r>
      <w:r w:rsidR="008D7E6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зокрема,</w:t>
      </w:r>
      <w:r w:rsidR="003066B2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педагогічних працівників мистецьк</w:t>
      </w:r>
      <w:r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их</w:t>
      </w:r>
      <w:r w:rsidR="003066B2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шкіл</w:t>
      </w:r>
      <w:r w:rsidR="003066B2"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.</w:t>
      </w:r>
    </w:p>
    <w:p w:rsidR="004D4796" w:rsidRPr="008E6A9A" w:rsidRDefault="002935C5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E6A9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Як результат,</w:t>
      </w:r>
      <w:r w:rsidR="004D479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21 квітня 2025 року на сайті Верховної Ради України оприлюднено </w:t>
      </w:r>
      <w:proofErr w:type="spellStart"/>
      <w:r w:rsidR="004D479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проєкт</w:t>
      </w:r>
      <w:proofErr w:type="spellEnd"/>
      <w:r w:rsidR="004D479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Закону України </w:t>
      </w:r>
      <w:r w:rsidR="009D60FC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«Про внесення змін до статті 23 Закону України «Про мобілізаційну підготовку та мобілізацію» щодо прав педагогічних працівників та здобувачів освіти», поданий на розгляд ВРУ Кабінетом Міністрів України</w:t>
      </w:r>
      <w:r w:rsidR="00AC47B2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(реєстраційний № 13193 від 18.04.2025 р.)</w:t>
      </w:r>
      <w:r w:rsidR="009D60FC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2C6D7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Розробник документу – Міністерство освіти і науки України.</w:t>
      </w:r>
    </w:p>
    <w:p w:rsidR="0073733E" w:rsidRPr="008E6A9A" w:rsidRDefault="00C92434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законопроєкту</w:t>
      </w:r>
      <w:proofErr w:type="spellEnd"/>
      <w:r w:rsidR="0073733E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73733E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право на відстрочку від </w:t>
      </w:r>
      <w:r w:rsidR="006478E1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призову під час </w:t>
      </w:r>
      <w:r w:rsidR="0073733E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мобілізації отримають викладачі та науковці наступних категорій:</w:t>
      </w:r>
    </w:p>
    <w:p w:rsidR="0073733E" w:rsidRPr="00B80053" w:rsidRDefault="0073733E" w:rsidP="00F75B1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Наукові, науково-педагогічні, педагогічні працівники закладів вищої освіти, наукові працівники наукових установ і організацій, н</w:t>
      </w:r>
      <w:r w:rsidR="002F33B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а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уково-педагогічні працівники закладів фахової </w:t>
      </w:r>
      <w:proofErr w:type="spellStart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передвищої</w:t>
      </w:r>
      <w:proofErr w:type="spellEnd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освіти</w:t>
      </w:r>
      <w:r w:rsidR="00C85EC1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, які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мають науковий ступінь, працюють за основним місцем роботи не менше ніж на 0,75 ставки.</w:t>
      </w:r>
    </w:p>
    <w:p w:rsidR="00C85EC1" w:rsidRPr="00C85EC1" w:rsidRDefault="0073733E" w:rsidP="0013226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Педагогічні працівники закладів фахової </w:t>
      </w:r>
      <w:proofErr w:type="spellStart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передвищої</w:t>
      </w:r>
      <w:proofErr w:type="spellEnd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освіти, професійної (професійно-технічної) освіти, загальної середньої освіти - за умови, що вони працюють за основним місцем роботи не менше ніж на 0,75 ставки</w:t>
      </w:r>
      <w:r w:rsidR="00C85EC1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.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</w:p>
    <w:p w:rsidR="002C6D76" w:rsidRPr="008C15A3" w:rsidRDefault="0073733E" w:rsidP="0013226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val="ru-RU" w:eastAsia="ru-RU"/>
        </w:rPr>
      </w:pPr>
      <w:r w:rsidRPr="00B80053">
        <w:rPr>
          <w:rFonts w:ascii="Times New Roman" w:eastAsia="Times New Roman" w:hAnsi="Times New Roman" w:cs="Times New Roman"/>
          <w:b/>
          <w:color w:val="050505"/>
          <w:sz w:val="27"/>
          <w:szCs w:val="27"/>
          <w:lang w:eastAsia="ru-RU"/>
        </w:rPr>
        <w:t>Педагогічні працівники державних та комунальних закладів позашкільної освіт</w:t>
      </w:r>
      <w:r w:rsidRPr="00C85EC1">
        <w:rPr>
          <w:rFonts w:ascii="Times New Roman" w:eastAsia="Times New Roman" w:hAnsi="Times New Roman" w:cs="Times New Roman"/>
          <w:b/>
          <w:color w:val="050505"/>
          <w:sz w:val="27"/>
          <w:szCs w:val="27"/>
          <w:lang w:eastAsia="ru-RU"/>
        </w:rPr>
        <w:t>и</w:t>
      </w:r>
      <w:r w:rsidRPr="00B80053">
        <w:rPr>
          <w:rFonts w:ascii="Times New Roman" w:eastAsia="Times New Roman" w:hAnsi="Times New Roman" w:cs="Times New Roman"/>
          <w:b/>
          <w:color w:val="050505"/>
          <w:sz w:val="27"/>
          <w:szCs w:val="27"/>
          <w:lang w:eastAsia="ru-RU"/>
        </w:rPr>
        <w:t>,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які станом на 1 січня 2025 року працювали та продовжують працювати за основним місцем роботи у закладах позашкільної освіти, що організовують роботу за </w:t>
      </w:r>
      <w:r w:rsidRPr="00B80053">
        <w:rPr>
          <w:rFonts w:ascii="Times New Roman" w:eastAsia="Times New Roman" w:hAnsi="Times New Roman" w:cs="Times New Roman"/>
          <w:b/>
          <w:color w:val="050505"/>
          <w:sz w:val="27"/>
          <w:szCs w:val="27"/>
          <w:u w:val="single"/>
          <w:lang w:eastAsia="ru-RU"/>
        </w:rPr>
        <w:t>мистецьким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, еколого-натуралістичним, науково-технічним, дослідницько-експериментальним, </w:t>
      </w:r>
      <w:r w:rsidRPr="00B80053">
        <w:rPr>
          <w:rFonts w:ascii="Times New Roman" w:eastAsia="Times New Roman" w:hAnsi="Times New Roman" w:cs="Times New Roman"/>
          <w:b/>
          <w:color w:val="050505"/>
          <w:sz w:val="27"/>
          <w:szCs w:val="27"/>
          <w:u w:val="single"/>
          <w:lang w:eastAsia="ru-RU"/>
        </w:rPr>
        <w:t>спортивним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, військово-патріотичним </w:t>
      </w:r>
      <w:r w:rsidRPr="008C15A3">
        <w:rPr>
          <w:rFonts w:ascii="Times New Roman" w:eastAsia="Times New Roman" w:hAnsi="Times New Roman" w:cs="Times New Roman"/>
          <w:b/>
          <w:color w:val="050505"/>
          <w:sz w:val="27"/>
          <w:szCs w:val="27"/>
          <w:u w:val="single"/>
          <w:lang w:eastAsia="ru-RU"/>
        </w:rPr>
        <w:t>напрямами з навантаженнями не менше ніж 0,75 ставки.</w:t>
      </w:r>
    </w:p>
    <w:p w:rsidR="00BF0125" w:rsidRPr="008E6A9A" w:rsidRDefault="002C6D76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Звертаємо Вашу увагу, що під час розробки </w:t>
      </w:r>
      <w:proofErr w:type="spellStart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законопроєкту</w:t>
      </w:r>
      <w:proofErr w:type="spellEnd"/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, до переліку 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закладів позашкільної освіти, 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педагогічн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і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працівник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и яких матимуть право на відстрочку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від мобілізації, були внесені 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не всі вищезазначені категорії</w:t>
      </w:r>
      <w:r w:rsidR="001876AA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закладів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.</w:t>
      </w:r>
    </w:p>
    <w:p w:rsidR="0073733E" w:rsidRPr="008E6A9A" w:rsidRDefault="004F5641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Тому, 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4 квітня 2025 р. </w:t>
      </w:r>
      <w:r w:rsidR="001E489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на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засіданн</w:t>
      </w:r>
      <w:r w:rsidR="001E489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і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Уряду, Міністр культури та стратегічних комунікацій України М. </w:t>
      </w:r>
      <w:proofErr w:type="spellStart"/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Точицьким</w:t>
      </w:r>
      <w:proofErr w:type="spellEnd"/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  <w:proofErr w:type="spellStart"/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вніс</w:t>
      </w:r>
      <w:proofErr w:type="spellEnd"/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пропозицію щодо </w:t>
      </w:r>
      <w:r w:rsidR="00BF0125" w:rsidRPr="00C85EC1">
        <w:rPr>
          <w:rFonts w:ascii="Times New Roman" w:eastAsia="Times New Roman" w:hAnsi="Times New Roman" w:cs="Times New Roman"/>
          <w:b/>
          <w:color w:val="050505"/>
          <w:sz w:val="27"/>
          <w:szCs w:val="27"/>
          <w:lang w:eastAsia="ru-RU"/>
        </w:rPr>
        <w:t>поширення норми стосовно відстрочки від призову під час мобілізації і на педпрацівників закладів позашкільної освіти за мистецьким та спортивним напрямами.</w:t>
      </w:r>
      <w:r w:rsidR="00BF0125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Дану пропозицію було підтримано Кабміном з рішенням щодо доопрацювання </w:t>
      </w:r>
      <w:proofErr w:type="spellStart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законопроєкту</w:t>
      </w:r>
      <w:proofErr w:type="spellEnd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у триденний строк.</w:t>
      </w:r>
    </w:p>
    <w:p w:rsidR="004F5641" w:rsidRPr="008E6A9A" w:rsidRDefault="004F5641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7 квітня 2025 р. Міністерство освіти і науки, як розробник документу, направи</w:t>
      </w:r>
      <w:r w:rsidR="00A60D98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ло</w:t>
      </w: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доопрацьований </w:t>
      </w:r>
      <w:proofErr w:type="spellStart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законопроєкт</w:t>
      </w:r>
      <w:proofErr w:type="spellEnd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на погодження до МКСК та </w:t>
      </w:r>
      <w:proofErr w:type="spellStart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Мінмолодьспорту</w:t>
      </w:r>
      <w:proofErr w:type="spellEnd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.</w:t>
      </w:r>
    </w:p>
    <w:p w:rsidR="001E4893" w:rsidRDefault="004F5641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lastRenderedPageBreak/>
        <w:t xml:space="preserve">МКСК погодило документ без зауважень. </w:t>
      </w:r>
      <w:proofErr w:type="spellStart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Мінмолодьспорту</w:t>
      </w:r>
      <w:proofErr w:type="spellEnd"/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надало пропозиції щодо додаткового поширення права відстрочки від призову під час мобілізації на тренерів-викладачів за фізкультурно-спортивним напрямом</w:t>
      </w:r>
      <w:r w:rsidR="001E489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.</w:t>
      </w: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</w:p>
    <w:p w:rsidR="004F5641" w:rsidRPr="00B80053" w:rsidRDefault="00C51CE5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Проте, враховуючи</w:t>
      </w:r>
      <w:r w:rsidR="004F564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, що тренери-викладачі за фізкультурно-спортивним напрямом закладів позашкільної освіти не відносяться до педагогічних працівників</w:t>
      </w:r>
      <w:r w:rsidR="00380347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, визначених Переліком посад педагогічних та науково-педагогічних працівників, затвердженим постановою КМУ від 14.02.2000 р. № 963, пропозиції </w:t>
      </w:r>
      <w:proofErr w:type="spellStart"/>
      <w:r w:rsidR="00380347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Мінмолодщьспорту</w:t>
      </w:r>
      <w:proofErr w:type="spellEnd"/>
      <w:r w:rsidR="00380347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не враховано як такі, що суперечать назві </w:t>
      </w:r>
      <w:proofErr w:type="spellStart"/>
      <w:r w:rsidR="00380347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законопроєкту</w:t>
      </w:r>
      <w:proofErr w:type="spellEnd"/>
      <w:r w:rsidR="00380347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щодо прав саме педагогічних працівників.</w:t>
      </w:r>
    </w:p>
    <w:p w:rsidR="005651FD" w:rsidRPr="00B80053" w:rsidRDefault="005651FD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Проєктом</w:t>
      </w:r>
      <w:proofErr w:type="spellEnd"/>
      <w:r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ЗУ № 13193 також вноситься ряд інших змін</w:t>
      </w:r>
      <w:r w:rsidR="00F75B16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, зокрема щодо прав здобувачів освіти</w:t>
      </w:r>
      <w:r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.</w:t>
      </w:r>
      <w:r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6F0C01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Після</w:t>
      </w:r>
      <w:r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прийняття</w:t>
      </w:r>
      <w:r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  <w:proofErr w:type="spellStart"/>
      <w:r w:rsidR="006F0C0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законопроєкту</w:t>
      </w:r>
      <w:proofErr w:type="spellEnd"/>
      <w:r w:rsidR="006F0C01" w:rsidRPr="008E6A9A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право на відстрочку </w:t>
      </w:r>
      <w:r w:rsidRPr="00B80053">
        <w:rPr>
          <w:rFonts w:ascii="Times New Roman" w:eastAsia="Times New Roman" w:hAnsi="Times New Roman" w:cs="Times New Roman"/>
          <w:bCs/>
          <w:color w:val="050505"/>
          <w:sz w:val="27"/>
          <w:szCs w:val="27"/>
          <w:lang w:eastAsia="ru-RU"/>
        </w:rPr>
        <w:t>здобувачі освіти матимуть за сукупності таких умов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:</w:t>
      </w:r>
    </w:p>
    <w:p w:rsidR="005651FD" w:rsidRPr="00B80053" w:rsidRDefault="005651FD" w:rsidP="00F75B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Навчання за денною або дуальною формою навчання.</w:t>
      </w:r>
    </w:p>
    <w:p w:rsidR="005651FD" w:rsidRPr="00B80053" w:rsidRDefault="005651FD" w:rsidP="00F75B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Навчання в закладах освіти (наукових установах) України.</w:t>
      </w:r>
    </w:p>
    <w:p w:rsidR="005651FD" w:rsidRPr="00B80053" w:rsidRDefault="005651FD" w:rsidP="00F75B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Здобуття освіти вперше за рівнем, що є вищим за той рівень, що здобувався раніше.</w:t>
      </w:r>
    </w:p>
    <w:p w:rsidR="005651FD" w:rsidRPr="00B80053" w:rsidRDefault="005651FD" w:rsidP="00F75B1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Навчання у закладах професійної (професійно-технічної), фахової </w:t>
      </w:r>
      <w:proofErr w:type="spellStart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передвищої</w:t>
      </w:r>
      <w:proofErr w:type="spellEnd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або вищої освіти</w:t>
      </w:r>
      <w:r w:rsidR="00335D1E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, а також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навчання докторантів, лікарів (фармацевтів) </w:t>
      </w:r>
      <w:r w:rsidR="00335D1E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–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інтернів</w:t>
      </w:r>
      <w:r w:rsidR="00335D1E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,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лікарів-резидентів.</w:t>
      </w:r>
    </w:p>
    <w:p w:rsidR="009479C4" w:rsidRPr="009479C4" w:rsidRDefault="005651FD" w:rsidP="0085427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Початок навчання у закладі професійної (професійно-технічної), фахової </w:t>
      </w:r>
      <w:proofErr w:type="spellStart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передвищої</w:t>
      </w:r>
      <w:proofErr w:type="spellEnd"/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освіти відбувся не пізніше року, в якому виповнилось 25 років</w:t>
      </w:r>
      <w:r w:rsidR="009479C4" w:rsidRPr="009479C4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.</w:t>
      </w: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 xml:space="preserve"> </w:t>
      </w:r>
    </w:p>
    <w:p w:rsidR="005651FD" w:rsidRPr="00B80053" w:rsidRDefault="005651FD" w:rsidP="0085427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0053">
        <w:rPr>
          <w:rFonts w:ascii="Times New Roman" w:eastAsia="Times New Roman" w:hAnsi="Times New Roman" w:cs="Times New Roman"/>
          <w:color w:val="050505"/>
          <w:sz w:val="27"/>
          <w:szCs w:val="27"/>
          <w:lang w:eastAsia="ru-RU"/>
        </w:rPr>
        <w:t>Навчання в межах розрахункового строку виконання освітньої програми (ця умова стосується виключно здобувачів вищої освіти).</w:t>
      </w:r>
    </w:p>
    <w:p w:rsidR="002C6D76" w:rsidRPr="008E6A9A" w:rsidRDefault="00F75B16" w:rsidP="00F75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В цілому</w:t>
      </w:r>
      <w:r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, в</w:t>
      </w:r>
      <w:r w:rsidR="002C6D7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ідповідно до інформації, що міститься у Пояснювальній записці, </w:t>
      </w:r>
      <w:proofErr w:type="spellStart"/>
      <w:r w:rsidR="002C6D76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законопроєктом</w:t>
      </w:r>
      <w:proofErr w:type="spellEnd"/>
      <w:r w:rsidR="002C6D76" w:rsidRPr="008E6A9A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 передбачається</w:t>
      </w:r>
      <w:r w:rsidR="002C6D76" w:rsidRPr="008E6A9A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:rsidR="008C15A3" w:rsidRDefault="002C6D76" w:rsidP="008C15A3">
      <w:pPr>
        <w:pStyle w:val="a5"/>
        <w:numPr>
          <w:ilvl w:val="1"/>
          <w:numId w:val="9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15A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забезпечити в умовах воєнного стану державні гарантії у сфері освіти для задоволення потреб національної економіки та військових формувань;</w:t>
      </w:r>
      <w:r w:rsidR="008C15A3" w:rsidRPr="008C1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15A3" w:rsidRDefault="002C6D76" w:rsidP="008C15A3">
      <w:pPr>
        <w:pStyle w:val="a5"/>
        <w:numPr>
          <w:ilvl w:val="1"/>
          <w:numId w:val="9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C15A3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уникнути використання здобуття освіти, як способу ухилення від мобілізації;</w:t>
      </w:r>
    </w:p>
    <w:p w:rsidR="0073733E" w:rsidRPr="008C15A3" w:rsidRDefault="002C6D76" w:rsidP="008C15A3">
      <w:pPr>
        <w:pStyle w:val="a5"/>
        <w:numPr>
          <w:ilvl w:val="1"/>
          <w:numId w:val="9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C1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усунути існуючі прогалини у законодавстві, які створюють умови для ухилення чоловіків призовного віку від мобілізації.</w:t>
      </w:r>
    </w:p>
    <w:p w:rsidR="00B80053" w:rsidRPr="00B80053" w:rsidRDefault="00B80053" w:rsidP="00F75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0053" w:rsidRPr="008E6A9A" w:rsidRDefault="00B80053" w:rsidP="00293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B80053" w:rsidRPr="008E6A9A" w:rsidRDefault="00B80053" w:rsidP="00293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8E6A9A" w:rsidRPr="008E6A9A" w:rsidTr="00EB72D4">
        <w:trPr>
          <w:trHeight w:val="2561"/>
        </w:trPr>
        <w:tc>
          <w:tcPr>
            <w:tcW w:w="3119" w:type="dxa"/>
          </w:tcPr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E6A9A"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 xml:space="preserve">      </w:t>
            </w:r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 </w:t>
            </w:r>
            <w:proofErr w:type="spellStart"/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>повагою</w:t>
            </w:r>
            <w:proofErr w:type="spellEnd"/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, </w:t>
            </w: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Голова </w:t>
            </w:r>
            <w:proofErr w:type="spellStart"/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>Профспілки</w:t>
            </w:r>
            <w:proofErr w:type="spellEnd"/>
          </w:p>
        </w:tc>
        <w:tc>
          <w:tcPr>
            <w:tcW w:w="3260" w:type="dxa"/>
            <w:hideMark/>
          </w:tcPr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E6A9A">
              <w:rPr>
                <w:rFonts w:ascii="Times New Roman" w:hAnsi="Times New Roman"/>
                <w:noProof/>
                <w:color w:val="000000"/>
                <w:sz w:val="27"/>
                <w:szCs w:val="27"/>
                <w:lang w:eastAsia="uk-UA"/>
              </w:rPr>
              <w:drawing>
                <wp:inline distT="0" distB="0" distL="0" distR="0">
                  <wp:extent cx="1866900" cy="158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8E6A9A" w:rsidRPr="008E6A9A" w:rsidRDefault="008E6A9A" w:rsidP="008E6A9A">
            <w:pPr>
              <w:spacing w:line="254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E6A9A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Галина ГАЙДУК</w:t>
            </w:r>
          </w:p>
        </w:tc>
      </w:tr>
    </w:tbl>
    <w:p w:rsidR="00B80053" w:rsidRPr="008E6A9A" w:rsidRDefault="00B80053" w:rsidP="00293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132102" w:rsidRPr="008E6A9A" w:rsidRDefault="00132102" w:rsidP="00AC47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AC47B2" w:rsidRPr="004D4796" w:rsidRDefault="00AC47B2" w:rsidP="00AC47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C47B2" w:rsidRPr="004D4796" w:rsidSect="008E6A9A">
      <w:pgSz w:w="11906" w:h="16838"/>
      <w:pgMar w:top="510" w:right="510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C66"/>
    <w:multiLevelType w:val="multilevel"/>
    <w:tmpl w:val="8D0E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C5725"/>
    <w:multiLevelType w:val="multilevel"/>
    <w:tmpl w:val="F4C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C33B7"/>
    <w:multiLevelType w:val="hybridMultilevel"/>
    <w:tmpl w:val="B56A31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73566D"/>
    <w:multiLevelType w:val="multilevel"/>
    <w:tmpl w:val="AEDC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0A4F60"/>
    <w:multiLevelType w:val="multilevel"/>
    <w:tmpl w:val="D16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659B5"/>
    <w:multiLevelType w:val="multilevel"/>
    <w:tmpl w:val="9274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94F28"/>
    <w:multiLevelType w:val="multilevel"/>
    <w:tmpl w:val="F1FE39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48A4340"/>
    <w:multiLevelType w:val="multilevel"/>
    <w:tmpl w:val="852C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0F38B7"/>
    <w:multiLevelType w:val="multilevel"/>
    <w:tmpl w:val="E83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D1C9B"/>
    <w:multiLevelType w:val="hybridMultilevel"/>
    <w:tmpl w:val="8F68EBE6"/>
    <w:lvl w:ilvl="0" w:tplc="E3BC3EC6">
      <w:numFmt w:val="bullet"/>
      <w:lvlText w:val=""/>
      <w:lvlJc w:val="left"/>
      <w:pPr>
        <w:ind w:left="1849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13"/>
    <w:rsid w:val="000A5BE0"/>
    <w:rsid w:val="000D2BBE"/>
    <w:rsid w:val="00132102"/>
    <w:rsid w:val="00180E6B"/>
    <w:rsid w:val="001876AA"/>
    <w:rsid w:val="001E4893"/>
    <w:rsid w:val="002935C5"/>
    <w:rsid w:val="002C6D76"/>
    <w:rsid w:val="002F33B5"/>
    <w:rsid w:val="002F54BA"/>
    <w:rsid w:val="003066B2"/>
    <w:rsid w:val="00335D1E"/>
    <w:rsid w:val="00380347"/>
    <w:rsid w:val="00460D13"/>
    <w:rsid w:val="004D4796"/>
    <w:rsid w:val="004F5641"/>
    <w:rsid w:val="005651FD"/>
    <w:rsid w:val="005C21C9"/>
    <w:rsid w:val="005D6C14"/>
    <w:rsid w:val="006478E1"/>
    <w:rsid w:val="006B4932"/>
    <w:rsid w:val="006F0C01"/>
    <w:rsid w:val="0073733E"/>
    <w:rsid w:val="00766541"/>
    <w:rsid w:val="008C15A3"/>
    <w:rsid w:val="008D7E6B"/>
    <w:rsid w:val="008E6A9A"/>
    <w:rsid w:val="009479C4"/>
    <w:rsid w:val="009D60FC"/>
    <w:rsid w:val="00A60D98"/>
    <w:rsid w:val="00AC47B2"/>
    <w:rsid w:val="00B80053"/>
    <w:rsid w:val="00BF0125"/>
    <w:rsid w:val="00C51CE5"/>
    <w:rsid w:val="00C85EC1"/>
    <w:rsid w:val="00C92434"/>
    <w:rsid w:val="00CF3601"/>
    <w:rsid w:val="00F7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DFC26-7C0E-4AFA-97A6-6B2ED96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E6A9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A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81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0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481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960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k_cultura@fpsu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3076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2025-04-28T07:26:00Z</dcterms:created>
  <dcterms:modified xsi:type="dcterms:W3CDTF">2025-04-28T07:27:00Z</dcterms:modified>
</cp:coreProperties>
</file>